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00" w:rsidRPr="00DB5A00" w:rsidRDefault="00DB5A00" w:rsidP="00DB5A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24"/>
          <w:szCs w:val="24"/>
          <w:lang w:eastAsia="ru-RU"/>
        </w:rPr>
      </w:pPr>
      <w:proofErr w:type="spellStart"/>
      <w:r w:rsidRPr="00DB5A00">
        <w:rPr>
          <w:rFonts w:ascii="Times New Roman" w:eastAsia="Times New Roman" w:hAnsi="Times New Roman" w:cs="Times New Roman"/>
          <w:b/>
          <w:bCs/>
          <w:color w:val="006400"/>
          <w:kern w:val="36"/>
          <w:sz w:val="24"/>
          <w:szCs w:val="24"/>
          <w:lang w:eastAsia="ru-RU"/>
        </w:rPr>
        <w:t>Индуктивно-кондуктивный</w:t>
      </w:r>
      <w:proofErr w:type="spellEnd"/>
      <w:r w:rsidRPr="00DB5A00">
        <w:rPr>
          <w:rFonts w:ascii="Times New Roman" w:eastAsia="Times New Roman" w:hAnsi="Times New Roman" w:cs="Times New Roman"/>
          <w:b/>
          <w:bCs/>
          <w:color w:val="006400"/>
          <w:kern w:val="36"/>
          <w:sz w:val="24"/>
          <w:szCs w:val="24"/>
          <w:lang w:eastAsia="ru-RU"/>
        </w:rPr>
        <w:t xml:space="preserve"> электронагреватель:</w:t>
      </w:r>
      <w:r w:rsidRPr="00DB5A00">
        <w:rPr>
          <w:rFonts w:ascii="Times New Roman" w:eastAsia="Times New Roman" w:hAnsi="Times New Roman" w:cs="Times New Roman"/>
          <w:b/>
          <w:bCs/>
          <w:color w:val="006400"/>
          <w:kern w:val="36"/>
          <w:sz w:val="24"/>
          <w:szCs w:val="24"/>
          <w:lang w:eastAsia="ru-RU"/>
        </w:rPr>
        <w:br/>
        <w:t>история разработки и перспективы развития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В прошлых номерах ИТР мы довольно подробно писали о разных аспектах, касающихся применения </w:t>
      </w:r>
      <w:proofErr w:type="spellStart"/>
      <w:r w:rsidRPr="00DB5A00">
        <w:rPr>
          <w:rFonts w:ascii="Verdana" w:eastAsia="Times New Roman" w:hAnsi="Verdana" w:cs="Times New Roman"/>
          <w:i/>
          <w:iCs/>
          <w:sz w:val="18"/>
          <w:lang w:eastAsia="ru-RU"/>
        </w:rPr>
        <w:t>индукционно-кондуктивных</w:t>
      </w:r>
      <w:proofErr w:type="spellEnd"/>
      <w:r w:rsidRPr="00DB5A00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нагревателей. В этом номере мы предлагаем вашему вниманию интервью с автором разработки Анатолием Ивановичем Елшиным, доктором технических наук, научным руководителем НИЦ "ИНМАШ".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2305050" cy="28575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- Что </w:t>
      </w:r>
      <w:proofErr w:type="gramStart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>представляют из себя</w:t>
      </w:r>
      <w:proofErr w:type="gramEnd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 </w:t>
      </w:r>
      <w:proofErr w:type="spellStart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>индуктивно-кондуктивные</w:t>
      </w:r>
      <w:proofErr w:type="spellEnd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 нагреватели и какими преимуществами они обладают?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Индуктивно-кондуктивный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электронагреватель - это электромагнитное устройство для нагрева индукционными токами, которые возбуждаются в металле теплообменника переменным магнитным полем. Конструктивно нагреватель выполнен в виде трансформатора, имеющего шихтованный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магнитопровод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 трансформаторной стали, первичную катушку из провода. Вторичной обмоткой является теплообменное устройство, по которому протекает нагреваемый теплоноситель. Параметры катушки, сердечника и теплообменного устройства рассчитаны таким образом, что обеспечивают работу аппарата в длительном режиме без перегрева.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Основные достоинства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нагревателей состоят в следующем.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Высокая защита от поражения электрическим током: низкое напряжение прикосновения - менее 2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второй класс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электробезопасности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что в соответствии с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ГОСТом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 требует использования заземления.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Незначительное превышение температуры теплообменного устройства над температурой объекта нагрева (не более 20°-30°С) исключает возникновение пожароопасных ситуаций. Этому способствует внутренняя терморегуляция устройства: снижение потребляемой мощности с повышением температуры выше критической.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Отсутствие высокотемпературных узлов существенно увеличивает срок службы - 100 000 часов и более, что определяется степенью старения изоляции обмоточного провода.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Только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индуктивно-кондуктивный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нагреватель имеет величину коэффициента мощности выше 0,98. Коэффициент мощности других индукционных нагревателей, например с трубчатыми теплообменниками, не превышает 0,9.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Устройство неприхотливо к виду теплоносителя (воздух, вода, масло, антифриз) и может быть приспособлено к любой форме объекта нагрева.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Естественная терморегуляция устройства снижает требования к защитной и регулирующей аппаратуре, в качестве которой могут быть использованы существующие системы автоматического управления.</w:t>
      </w:r>
    </w:p>
    <w:p w:rsidR="00DB5A00" w:rsidRPr="00DB5A00" w:rsidRDefault="00DB5A00" w:rsidP="00DB5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Простота монтажа и обслуживания обеспечивает возможность полной автономности работы и подключения к существующим системам отопления и горячего водоснабжения, а надежность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нагревателей исключает межсезонные и профилактические ремонты.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color w:val="006400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- Анатолий Иванович, насколько мы знаем, </w:t>
      </w:r>
      <w:proofErr w:type="spellStart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>индуктивно-кондуктивные</w:t>
      </w:r>
      <w:proofErr w:type="spellEnd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 нагреватели - ваша разработка. Расскажите об этапах ее создания. Как появилась такая идея и на что вы опирались при ее реализации?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- Начало создания разработки относится к концу 80-х годов прошлого столетия, когда вузовская наука перестала получать заказы промышленности. Мне пришлось совершить переоценку научных ценностей и обратиться к одному из своих давних научных интересов - вопросу создания безопасного и надежного электронагревательного оборудования для жизнеобеспечения человека.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Исследование мировой патентной ситуации по данному вопросу показало, что наиболее близко к созданию надежного устройства подошли французские ученые, запатентовавшие ряд индукционных устройств, где в обычном трансформаторе применили нетрадиционную вторичную трубчатую обмотку со специальным теплоносителем. Многочисленные примеры отечественной практики использования трансформаторных нагревателей с трубчатой вторичной обмоткой для нагрева обычной воды всегда приводили к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накипеобразованию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отложению солей на внутренней поверхности трубок. Наши расчеты электромагнитного и теплового полей в трубчатом теплообменнике показали явно неравномерную картину распределения плотности тока, мощности энергии и температуры по сечению трубчатого проводника. Кроме этого, количество трубок прямо влияет на коэффициент мощности нагревателя, который в лучшем случае достигает величины 0,9. Поэтому от этой конструкции индукционного нагревателя пришлось отказаться.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Мы запатентовали иную, распределенную форму нетрадиционной вторичной обмотки, в которой плотность тока равномерна, температура поверхности, обращенной к теплоносителю, одинакова, а коэффициент мощности близок к единице. Эти нагреватели названы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индуктивно-кондуктивными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поскольку существенную роль в функционировании устройства играет не только материал, но и форма вторичной электропроводящей обмотки. В течение 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трех лет создается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около восьмидесяти макетных образцов нового нагревательного оборудования, подтвердивших высокие энергетические и эксплуатационные характеристики и явившихся впоследствии прообразами изобретений.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color w:val="006400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>- Когда было запущено производство? Насколько востребована данная продукция?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 1992 г. совместно с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Бердским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опытно-механическим заводом выпущена первая в мировой практике партия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нагревателей мощностью 12 кВт для автономного теплоснабжения, которые были мгновенно реализованы. Там же был осуществлен проект завода по пастеризации молока на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нагревателях. Это послужило началом появления на рынке нового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электробезопасного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нагревательного оборудования. В 1993 г. создано научно-внедренческое предприятие "Новая электрическая машина", в рамках которого на собственные доходы проведена разработка основных геометрических размеров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магнитопроводов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сечения обмоточных проводов, схемных решений управляющей аппаратуры для ряда типоразмеров нагревателей, охватывающих мощности от 0,8 до 244 кВт. Одновременно проведены маркетинговые исследования и реализованы нагреватели в Новосибирской, Кемеровской, Томской, Иркутской, Тюменской областях, Красноярском, Приморском, Хабаровском краях и Подмосковье. Опыт эксплуатации свидетельствует о безукоризненной работоспособности и надежности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нагревателей. В очень короткий срок популярность нагревателей достигла рубежей России, партия нагревателей до известных событий была поставлена в Югославию. Были подготовлены контракты в Финляндию и Южную Корею к реализации "сухих"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нагревателей для подогрева воздуха.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color w:val="006400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- Анатолий Иванович, по вашему мнению, как будет складываться судьба </w:t>
      </w:r>
      <w:proofErr w:type="spellStart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>индуктивно-кондуктивных</w:t>
      </w:r>
      <w:proofErr w:type="spellEnd"/>
      <w:r w:rsidRPr="00DB5A00">
        <w:rPr>
          <w:rFonts w:ascii="Verdana" w:eastAsia="Times New Roman" w:hAnsi="Verdana" w:cs="Times New Roman"/>
          <w:b/>
          <w:bCs/>
          <w:i/>
          <w:iCs/>
          <w:color w:val="006400"/>
          <w:sz w:val="18"/>
          <w:lang w:eastAsia="ru-RU"/>
        </w:rPr>
        <w:t xml:space="preserve"> нагревателей в будущем? Получит ли данная разработка свое дальнейшее развитие?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На изобретения различных установок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индуктивно-кондуктивного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 за последнее десятилетие получено более тридцати патентов, что показывает широту границ применения данного способа нагрева.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Изготовлены и реализованы подогреватели проточной нефти (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газоконденсата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) и других вязких жидкостей, в которых осуществлен прямой равномерный нагрев трубопровода.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Высокотемпературные проточные нагреватели технологического теплоносителя до 500.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качестве которого может быть жидкость, позволяют снизить потери энергии и обеспечить равномерную температуру в объеме теплоносителя. Специальный алгоритм автоматического управления позволяет устанавливать любой диапазон температуры нагрева.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Погружные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подогреватели мазута предназначены для подогрева мазута в железнодорожных цистернах, емкостях для последующей транспортировки в зимнее время. В рабочем состоянии нагреватель погружается в верхнюю горловину железнодорожной цистерны.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Нагреватели жидкости и газа на напряжение 10 кВ в качестве источника питания используют подстанции с напряжением 6/10 кВ, что позволяет существенно снизить капитальные затраты на обустройство теплового пункта и систему нагрева. Для управления системой нагрева необходим квалифицированный персонал.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Парогенератор на принципе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индуктивно-кондуктивного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 имеет развитую поверхность системы парообразования, что снижает время нагрева и исключает отложения на стенках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парообразователя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br/>
        <w:t>Установки для сушки и обжарки зерна, кофе или семян подсолнечника барабанного типа равномерно разогревают барабан индукционными токами с регулируемой температурой.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Сушильные шкафы в качестве нагревателя имеют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индуктивно-кондуктивное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устройство с рабочей регулируемой температурой 40 - 70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°С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, что обеспечивает высокое качество продукта.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Устройство для прогрева тепличного грунта осуществляет равномерный низкотемпературный прогрев металлических лент под сверхнизким напряжением, уложенных на глубине 0,5 м от поверхности.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Установка для скоростной бездефектной сушки древесины в кряже и распиловочной позволяет осуществить сушку древесины влажностью от 60% до 10% за двое-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трое суток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без образования трещин и сколов. Сушка производится под пленкой с естественной циркуляцией. Подогреватели воздуха могут быть встроены в интерьер помещения, так как максимальная температура устройства не </w:t>
      </w:r>
      <w:proofErr w:type="gram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превышает 75°С. Печь-сауна прогревает</w:t>
      </w:r>
      <w:proofErr w:type="gram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температуры 120°С и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омагничивает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воздух настенной панелью из металла.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Устройства для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магнитотерапии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массажер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одновременно с нагревом осуществляют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омагничивание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участков тела пациента. Мощность устройств до 50 Вт, масса до 3 кг.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Фильтр-осадитель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железа создает в зоне обработки воды мощное магнитное поле (до 200 кА/м) с однонаправленным градиентом, что позволяет эффективно удалять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ферромагнитные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частицы и избыток солей в отстойник.</w:t>
      </w:r>
    </w:p>
    <w:p w:rsidR="00DB5A00" w:rsidRPr="00DB5A00" w:rsidRDefault="00DB5A00" w:rsidP="00DB5A00">
      <w:pPr>
        <w:spacing w:after="75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Разработка новых устройств на принципе </w:t>
      </w:r>
      <w:proofErr w:type="spellStart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>индуктивно-кондуктивного</w:t>
      </w:r>
      <w:proofErr w:type="spellEnd"/>
      <w:r w:rsidRPr="00DB5A0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нагрева ведется нами непрерывно в контакте с потребителем, и сфера применения этих нагревателей постоянно расширяется.</w:t>
      </w:r>
    </w:p>
    <w:p w:rsidR="00DB5A00" w:rsidRPr="00DB5A00" w:rsidRDefault="00DB5A00" w:rsidP="00DB5A00">
      <w:pPr>
        <w:spacing w:after="75" w:line="240" w:lineRule="auto"/>
        <w:ind w:firstLine="720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5A00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НИЦ "ИНМАШ" </w:t>
      </w:r>
      <w:r w:rsidRPr="00DB5A0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</w:r>
      <w:r w:rsidRPr="00DB5A00">
        <w:rPr>
          <w:rFonts w:ascii="Verdana" w:eastAsia="Times New Roman" w:hAnsi="Verdana" w:cs="Times New Roman"/>
          <w:i/>
          <w:iCs/>
          <w:sz w:val="18"/>
          <w:lang w:eastAsia="ru-RU"/>
        </w:rPr>
        <w:t>тел. (383) 215-10-69</w:t>
      </w:r>
    </w:p>
    <w:p w:rsidR="00DB5A00" w:rsidRPr="00DB5A00" w:rsidRDefault="00DB5A00" w:rsidP="00DB5A00">
      <w:pPr>
        <w:spacing w:after="75" w:line="240" w:lineRule="auto"/>
        <w:ind w:firstLine="720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190625" cy="114300"/>
            <wp:effectExtent l="1905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A0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br/>
      </w:r>
      <w:hyperlink r:id="rId7" w:history="1">
        <w:r w:rsidRPr="00DB5A00">
          <w:rPr>
            <w:rFonts w:ascii="Tahoma" w:eastAsia="Times New Roman" w:hAnsi="Tahoma" w:cs="Tahoma"/>
            <w:i/>
            <w:iCs/>
            <w:color w:val="333333"/>
            <w:sz w:val="20"/>
            <w:lang w:eastAsia="ru-RU"/>
          </w:rPr>
          <w:t>http://eh-inc.nsk.su</w:t>
        </w:r>
      </w:hyperlink>
    </w:p>
    <w:tbl>
      <w:tblPr>
        <w:tblW w:w="9600" w:type="dxa"/>
        <w:jc w:val="center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tblCellMar>
          <w:left w:w="0" w:type="dxa"/>
          <w:right w:w="0" w:type="dxa"/>
        </w:tblCellMar>
        <w:tblLook w:val="04A0"/>
      </w:tblPr>
      <w:tblGrid>
        <w:gridCol w:w="9600"/>
      </w:tblGrid>
      <w:tr w:rsidR="00B83596" w:rsidTr="00B83596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596" w:rsidRDefault="00B8359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26"/>
                <w:szCs w:val="26"/>
                <w:lang w:eastAsia="ru-RU"/>
              </w:rPr>
              <w:t>Характеристики узлов нагрева "КИТ"</w:t>
            </w:r>
          </w:p>
        </w:tc>
      </w:tr>
      <w:tr w:rsidR="00B83596" w:rsidTr="00B83596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jc w:val="center"/>
              <w:tblBorders>
                <w:top w:val="single" w:sz="6" w:space="0" w:color="800000"/>
                <w:left w:val="single" w:sz="6" w:space="0" w:color="800000"/>
                <w:bottom w:val="single" w:sz="6" w:space="0" w:color="800000"/>
                <w:right w:val="single" w:sz="6" w:space="0" w:color="8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59"/>
              <w:gridCol w:w="609"/>
              <w:gridCol w:w="691"/>
              <w:gridCol w:w="691"/>
              <w:gridCol w:w="750"/>
              <w:gridCol w:w="750"/>
              <w:gridCol w:w="750"/>
              <w:gridCol w:w="750"/>
              <w:gridCol w:w="750"/>
            </w:tblGrid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Тип, наименование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«КИТ-40»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«КИТ-50»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«КИТ-100»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«КИТ-100»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«КИТ-150»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«КИТ-200»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ru-RU"/>
                    </w:rPr>
                    <w:t xml:space="preserve">«КИТ-300»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Кол-во и тип электронагревателей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2x20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1x50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2x50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1x100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3x50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2x100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3x100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Мощность потребляемая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кВт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300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Тепловая мощность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Мкал/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34,4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43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129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172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258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Номинальное напряжение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380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Частота тока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Гц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50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Число фаз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Класс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электробезопасности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Коэффициент мощности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cos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0,98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0,985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0,985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0,99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Объем отапливаемых жилых помещений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уб.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4500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6000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90000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Объем отапливаемых производственных помещений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3500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7000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7000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13000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14500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AA00"/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20000 </w:t>
                  </w:r>
                </w:p>
              </w:tc>
            </w:tr>
            <w:tr w:rsidR="00B8359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Рабочее давление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МПа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0,6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596" w:rsidRDefault="00B835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</w:tr>
          </w:tbl>
          <w:p w:rsidR="00B83596" w:rsidRDefault="00B83596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47FF6" w:rsidRDefault="00E47FF6"/>
    <w:sectPr w:rsidR="00E47FF6" w:rsidSect="00E4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4AB"/>
    <w:multiLevelType w:val="multilevel"/>
    <w:tmpl w:val="9EC4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A00"/>
    <w:rsid w:val="00702AC2"/>
    <w:rsid w:val="00B83596"/>
    <w:rsid w:val="00DB5A00"/>
    <w:rsid w:val="00E4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6"/>
  </w:style>
  <w:style w:type="paragraph" w:styleId="1">
    <w:name w:val="heading 1"/>
    <w:basedOn w:val="a"/>
    <w:link w:val="10"/>
    <w:uiPriority w:val="9"/>
    <w:qFormat/>
    <w:rsid w:val="00DB5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5A00"/>
    <w:rPr>
      <w:i/>
      <w:iCs/>
    </w:rPr>
  </w:style>
  <w:style w:type="character" w:styleId="a5">
    <w:name w:val="Strong"/>
    <w:basedOn w:val="a0"/>
    <w:uiPriority w:val="22"/>
    <w:qFormat/>
    <w:rsid w:val="00DB5A00"/>
    <w:rPr>
      <w:b/>
      <w:bCs/>
    </w:rPr>
  </w:style>
  <w:style w:type="paragraph" w:customStyle="1" w:styleId="cgreen">
    <w:name w:val="cgreen"/>
    <w:basedOn w:val="a"/>
    <w:rsid w:val="00D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A00"/>
  </w:style>
  <w:style w:type="paragraph" w:styleId="a6">
    <w:name w:val="Balloon Text"/>
    <w:basedOn w:val="a"/>
    <w:link w:val="a7"/>
    <w:uiPriority w:val="99"/>
    <w:semiHidden/>
    <w:unhideWhenUsed/>
    <w:rsid w:val="00D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h-inc.nsk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Вал</cp:lastModifiedBy>
  <cp:revision>4</cp:revision>
  <dcterms:created xsi:type="dcterms:W3CDTF">2014-08-14T14:25:00Z</dcterms:created>
  <dcterms:modified xsi:type="dcterms:W3CDTF">2014-08-20T06:45:00Z</dcterms:modified>
</cp:coreProperties>
</file>